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61DEB" w14:textId="77777777" w:rsidR="002960FA" w:rsidRDefault="002960FA" w:rsidP="002960F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C3CE4">
        <w:rPr>
          <w:rFonts w:ascii="Times New Roman" w:hAnsi="Times New Roman" w:cs="Times New Roman"/>
          <w:b/>
          <w:bCs/>
          <w:sz w:val="24"/>
          <w:szCs w:val="24"/>
        </w:rPr>
        <w:t>ULAŞTIRMA VE HABERLEŞME GİDERLERİ</w:t>
      </w:r>
    </w:p>
    <w:p w14:paraId="5936B0D6" w14:textId="77777777" w:rsidR="002960FA" w:rsidRPr="009C3CE4" w:rsidRDefault="002960FA" w:rsidP="002960FA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oKlavuzu"/>
        <w:tblW w:w="9634" w:type="dxa"/>
        <w:tblLook w:val="04A0" w:firstRow="1" w:lastRow="0" w:firstColumn="1" w:lastColumn="0" w:noHBand="0" w:noVBand="1"/>
      </w:tblPr>
      <w:tblGrid>
        <w:gridCol w:w="540"/>
        <w:gridCol w:w="7402"/>
        <w:gridCol w:w="1692"/>
      </w:tblGrid>
      <w:tr w:rsidR="002960FA" w:rsidRPr="009C3CE4" w14:paraId="31720039" w14:textId="77777777" w:rsidTr="00E22CBE">
        <w:trPr>
          <w:trHeight w:val="339"/>
        </w:trPr>
        <w:tc>
          <w:tcPr>
            <w:tcW w:w="540" w:type="dxa"/>
            <w:noWrap/>
          </w:tcPr>
          <w:p w14:paraId="222AF43C" w14:textId="77777777" w:rsidR="002960FA" w:rsidRPr="009C3CE4" w:rsidRDefault="002960FA" w:rsidP="00E22C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402" w:type="dxa"/>
          </w:tcPr>
          <w:p w14:paraId="64E86A40" w14:textId="77777777" w:rsidR="002960FA" w:rsidRPr="00A04165" w:rsidRDefault="002960FA" w:rsidP="00E22C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41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BELGE</w:t>
            </w:r>
          </w:p>
        </w:tc>
        <w:tc>
          <w:tcPr>
            <w:tcW w:w="1692" w:type="dxa"/>
            <w:noWrap/>
          </w:tcPr>
          <w:p w14:paraId="43410BE4" w14:textId="77777777" w:rsidR="002960FA" w:rsidRPr="00A04165" w:rsidRDefault="002960FA" w:rsidP="00E22C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41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+/-</w:t>
            </w:r>
          </w:p>
        </w:tc>
      </w:tr>
      <w:tr w:rsidR="002960FA" w:rsidRPr="009C3CE4" w14:paraId="7FDF4732" w14:textId="77777777" w:rsidTr="00E22CBE">
        <w:trPr>
          <w:trHeight w:val="900"/>
        </w:trPr>
        <w:tc>
          <w:tcPr>
            <w:tcW w:w="540" w:type="dxa"/>
            <w:noWrap/>
            <w:hideMark/>
          </w:tcPr>
          <w:p w14:paraId="7D7F4EBD" w14:textId="77777777" w:rsidR="002960FA" w:rsidRPr="009C3CE4" w:rsidRDefault="002960FA" w:rsidP="00E22C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402" w:type="dxa"/>
            <w:hideMark/>
          </w:tcPr>
          <w:p w14:paraId="17FCA62B" w14:textId="77777777" w:rsidR="002960FA" w:rsidRPr="009C3CE4" w:rsidRDefault="002960FA" w:rsidP="00E22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 xml:space="preserve">Kamu kurum ve kuruluşlarınca veya kamu kurum ve kuruluşlarının denetim ve gözetimi altında bir imtiyaz hakkı dahilinde özel hukuk tüzel kişilerince sunulan tekel niteliğindeki telefon, teleks, </w:t>
            </w:r>
            <w:proofErr w:type="spellStart"/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telefaks</w:t>
            </w:r>
            <w:proofErr w:type="spellEnd"/>
            <w:r w:rsidRPr="009C3CE4">
              <w:rPr>
                <w:rFonts w:ascii="Times New Roman" w:hAnsi="Times New Roman" w:cs="Times New Roman"/>
                <w:sz w:val="24"/>
                <w:szCs w:val="24"/>
              </w:rPr>
              <w:t xml:space="preserve"> ile ilgili her türlü hat ve benzeri ulaştırma ve haberleşme araçlarının kullanım ve abone giderleriyle telgraf ve posta pulu bedellerinin ödenmesinde;</w:t>
            </w:r>
          </w:p>
        </w:tc>
        <w:tc>
          <w:tcPr>
            <w:tcW w:w="1692" w:type="dxa"/>
            <w:noWrap/>
            <w:hideMark/>
          </w:tcPr>
          <w:p w14:paraId="527F7CB0" w14:textId="77777777" w:rsidR="002960FA" w:rsidRPr="009C3CE4" w:rsidRDefault="002960FA" w:rsidP="00E22C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2960FA" w:rsidRPr="009C3CE4" w14:paraId="0B45BD11" w14:textId="77777777" w:rsidTr="00E22CBE">
        <w:trPr>
          <w:trHeight w:val="630"/>
        </w:trPr>
        <w:tc>
          <w:tcPr>
            <w:tcW w:w="540" w:type="dxa"/>
            <w:noWrap/>
            <w:hideMark/>
          </w:tcPr>
          <w:p w14:paraId="33BB5282" w14:textId="77777777" w:rsidR="002960FA" w:rsidRPr="009C3CE4" w:rsidRDefault="002960FA" w:rsidP="00E22C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proofErr w:type="gramEnd"/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7402" w:type="dxa"/>
            <w:hideMark/>
          </w:tcPr>
          <w:p w14:paraId="34591D1E" w14:textId="77777777" w:rsidR="002960FA" w:rsidRPr="009C3CE4" w:rsidRDefault="002960FA" w:rsidP="00E22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Yurtiçi ve yurtdışı şehirlerarası telefon görüşme bedellerinin resmi-özel ayrımını gösterir, kullanıcının beyanına dayalı olarak ilgili daire amirince onanmış fatura,</w:t>
            </w:r>
          </w:p>
        </w:tc>
        <w:tc>
          <w:tcPr>
            <w:tcW w:w="1692" w:type="dxa"/>
            <w:noWrap/>
            <w:hideMark/>
          </w:tcPr>
          <w:p w14:paraId="59BEE435" w14:textId="77777777" w:rsidR="002960FA" w:rsidRPr="009C3CE4" w:rsidRDefault="002960FA" w:rsidP="00E22C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2960FA" w:rsidRPr="009C3CE4" w14:paraId="617E5CE3" w14:textId="77777777" w:rsidTr="00E22CBE">
        <w:trPr>
          <w:trHeight w:val="630"/>
        </w:trPr>
        <w:tc>
          <w:tcPr>
            <w:tcW w:w="540" w:type="dxa"/>
            <w:noWrap/>
            <w:hideMark/>
          </w:tcPr>
          <w:p w14:paraId="0D72F9AA" w14:textId="77777777" w:rsidR="002960FA" w:rsidRPr="009C3CE4" w:rsidRDefault="002960FA" w:rsidP="00E22C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402" w:type="dxa"/>
            <w:hideMark/>
          </w:tcPr>
          <w:p w14:paraId="0EE0A2FC" w14:textId="77777777" w:rsidR="002960FA" w:rsidRPr="009C3CE4" w:rsidRDefault="002960FA" w:rsidP="00E22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 xml:space="preserve">Tekel niteliğinde olmayan veya ihale mevzuatına göre temin edilen telefon, teleks, </w:t>
            </w:r>
            <w:proofErr w:type="spellStart"/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telefaks</w:t>
            </w:r>
            <w:proofErr w:type="spellEnd"/>
            <w:r w:rsidRPr="009C3CE4">
              <w:rPr>
                <w:rFonts w:ascii="Times New Roman" w:hAnsi="Times New Roman" w:cs="Times New Roman"/>
                <w:sz w:val="24"/>
                <w:szCs w:val="24"/>
              </w:rPr>
              <w:t xml:space="preserve"> ve benzeri ulaştırma ve haberleşme araçlarının her türlü hat kullanım ve abone giderlerinin ödenmesinde;</w:t>
            </w:r>
          </w:p>
        </w:tc>
        <w:tc>
          <w:tcPr>
            <w:tcW w:w="1692" w:type="dxa"/>
            <w:noWrap/>
            <w:hideMark/>
          </w:tcPr>
          <w:p w14:paraId="5AD9682D" w14:textId="77777777" w:rsidR="002960FA" w:rsidRPr="009C3CE4" w:rsidRDefault="002960FA" w:rsidP="00E22C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2960FA" w:rsidRPr="009C3CE4" w14:paraId="0B8F21A7" w14:textId="77777777" w:rsidTr="00E22CBE">
        <w:trPr>
          <w:trHeight w:val="390"/>
        </w:trPr>
        <w:tc>
          <w:tcPr>
            <w:tcW w:w="540" w:type="dxa"/>
            <w:noWrap/>
            <w:hideMark/>
          </w:tcPr>
          <w:p w14:paraId="47BE68CD" w14:textId="77777777" w:rsidR="002960FA" w:rsidRPr="009C3CE4" w:rsidRDefault="002960FA" w:rsidP="00E22C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proofErr w:type="gramEnd"/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7402" w:type="dxa"/>
            <w:hideMark/>
          </w:tcPr>
          <w:p w14:paraId="6EC74F5F" w14:textId="77777777" w:rsidR="002960FA" w:rsidRPr="009C3CE4" w:rsidRDefault="002960FA" w:rsidP="00E22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Taahhüt dosyası,</w:t>
            </w:r>
          </w:p>
        </w:tc>
        <w:tc>
          <w:tcPr>
            <w:tcW w:w="1692" w:type="dxa"/>
            <w:noWrap/>
            <w:hideMark/>
          </w:tcPr>
          <w:p w14:paraId="6F3CD39D" w14:textId="77777777" w:rsidR="002960FA" w:rsidRPr="009C3CE4" w:rsidRDefault="002960FA" w:rsidP="00E22C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2960FA" w:rsidRPr="009C3CE4" w14:paraId="73B293C8" w14:textId="77777777" w:rsidTr="00E22CBE">
        <w:trPr>
          <w:trHeight w:val="630"/>
        </w:trPr>
        <w:tc>
          <w:tcPr>
            <w:tcW w:w="540" w:type="dxa"/>
            <w:noWrap/>
            <w:hideMark/>
          </w:tcPr>
          <w:p w14:paraId="0D0AC1A3" w14:textId="77777777" w:rsidR="002960FA" w:rsidRPr="009C3CE4" w:rsidRDefault="002960FA" w:rsidP="00E22C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</w:t>
            </w:r>
            <w:proofErr w:type="gramEnd"/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7402" w:type="dxa"/>
            <w:hideMark/>
          </w:tcPr>
          <w:p w14:paraId="70B34601" w14:textId="77777777" w:rsidR="002960FA" w:rsidRPr="009C3CE4" w:rsidRDefault="002960FA" w:rsidP="00E22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Yurtiçi ve yurtdışı şehirlerarası telefon görüşme bedellerinin resmi-özel ayrımını gösterir, kullanıcının beyanına dayalı olarak ilgili daire amirince onanmış fatura,</w:t>
            </w:r>
          </w:p>
        </w:tc>
        <w:tc>
          <w:tcPr>
            <w:tcW w:w="1692" w:type="dxa"/>
            <w:noWrap/>
            <w:hideMark/>
          </w:tcPr>
          <w:p w14:paraId="2891929F" w14:textId="77777777" w:rsidR="002960FA" w:rsidRPr="009C3CE4" w:rsidRDefault="002960FA" w:rsidP="00E22C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2960FA" w:rsidRPr="009C3CE4" w14:paraId="4D09070B" w14:textId="77777777" w:rsidTr="00E22CBE">
        <w:trPr>
          <w:trHeight w:val="630"/>
        </w:trPr>
        <w:tc>
          <w:tcPr>
            <w:tcW w:w="540" w:type="dxa"/>
            <w:noWrap/>
            <w:hideMark/>
          </w:tcPr>
          <w:p w14:paraId="24DC5E70" w14:textId="77777777" w:rsidR="002960FA" w:rsidRPr="009C3CE4" w:rsidRDefault="002960FA" w:rsidP="00E22C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402" w:type="dxa"/>
            <w:hideMark/>
          </w:tcPr>
          <w:p w14:paraId="351FAF0D" w14:textId="77777777" w:rsidR="002960FA" w:rsidRPr="009C3CE4" w:rsidRDefault="002960FA" w:rsidP="00E22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 xml:space="preserve">Bir bağlantıyla ulaşılan (telefon, kablo, internet vb.) televizyon ve benzeri araçların abone giderleri ile bilgisayar haberleşmesi ve haber ajansları abonelik giderleri gibi bilgiye abonelik giderlerinin ödenmesinde;  </w:t>
            </w:r>
          </w:p>
        </w:tc>
        <w:tc>
          <w:tcPr>
            <w:tcW w:w="1692" w:type="dxa"/>
            <w:noWrap/>
            <w:hideMark/>
          </w:tcPr>
          <w:p w14:paraId="1B8B60B0" w14:textId="77777777" w:rsidR="002960FA" w:rsidRPr="009C3CE4" w:rsidRDefault="002960FA" w:rsidP="00E22C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2960FA" w:rsidRPr="009C3CE4" w14:paraId="7971F8DB" w14:textId="77777777" w:rsidTr="00E22CBE">
        <w:trPr>
          <w:trHeight w:val="390"/>
        </w:trPr>
        <w:tc>
          <w:tcPr>
            <w:tcW w:w="540" w:type="dxa"/>
            <w:noWrap/>
            <w:hideMark/>
          </w:tcPr>
          <w:p w14:paraId="6E60194B" w14:textId="77777777" w:rsidR="002960FA" w:rsidRPr="009C3CE4" w:rsidRDefault="002960FA" w:rsidP="00E22C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proofErr w:type="gramEnd"/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7402" w:type="dxa"/>
            <w:hideMark/>
          </w:tcPr>
          <w:p w14:paraId="77B74C73" w14:textId="77777777" w:rsidR="002960FA" w:rsidRPr="009C3CE4" w:rsidRDefault="002960FA" w:rsidP="00E22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Taahhüt dosyası,</w:t>
            </w:r>
          </w:p>
        </w:tc>
        <w:tc>
          <w:tcPr>
            <w:tcW w:w="1692" w:type="dxa"/>
            <w:noWrap/>
            <w:hideMark/>
          </w:tcPr>
          <w:p w14:paraId="4DFCE1DF" w14:textId="77777777" w:rsidR="002960FA" w:rsidRPr="009C3CE4" w:rsidRDefault="002960FA" w:rsidP="00E22C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2960FA" w:rsidRPr="009C3CE4" w14:paraId="7E8E672C" w14:textId="77777777" w:rsidTr="00E22CBE">
        <w:trPr>
          <w:trHeight w:val="390"/>
        </w:trPr>
        <w:tc>
          <w:tcPr>
            <w:tcW w:w="540" w:type="dxa"/>
            <w:noWrap/>
            <w:hideMark/>
          </w:tcPr>
          <w:p w14:paraId="2464E963" w14:textId="77777777" w:rsidR="002960FA" w:rsidRPr="009C3CE4" w:rsidRDefault="002960FA" w:rsidP="00E22C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</w:t>
            </w:r>
            <w:proofErr w:type="gramEnd"/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7402" w:type="dxa"/>
            <w:hideMark/>
          </w:tcPr>
          <w:p w14:paraId="4E5A504F" w14:textId="77777777" w:rsidR="002960FA" w:rsidRPr="009C3CE4" w:rsidRDefault="002960FA" w:rsidP="00E22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Fatura,</w:t>
            </w:r>
          </w:p>
        </w:tc>
        <w:tc>
          <w:tcPr>
            <w:tcW w:w="1692" w:type="dxa"/>
            <w:noWrap/>
            <w:hideMark/>
          </w:tcPr>
          <w:p w14:paraId="79C7BC44" w14:textId="77777777" w:rsidR="002960FA" w:rsidRPr="009C3CE4" w:rsidRDefault="002960FA" w:rsidP="00E22C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2960FA" w:rsidRPr="009C3CE4" w14:paraId="07486131" w14:textId="77777777" w:rsidTr="00E22CBE">
        <w:trPr>
          <w:trHeight w:val="390"/>
        </w:trPr>
        <w:tc>
          <w:tcPr>
            <w:tcW w:w="540" w:type="dxa"/>
            <w:noWrap/>
            <w:hideMark/>
          </w:tcPr>
          <w:p w14:paraId="38190789" w14:textId="77777777" w:rsidR="002960FA" w:rsidRPr="009C3CE4" w:rsidRDefault="002960FA" w:rsidP="00E22C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c)</w:t>
            </w:r>
          </w:p>
        </w:tc>
        <w:tc>
          <w:tcPr>
            <w:tcW w:w="7402" w:type="dxa"/>
            <w:hideMark/>
          </w:tcPr>
          <w:p w14:paraId="3342D2AF" w14:textId="77777777" w:rsidR="002960FA" w:rsidRPr="009C3CE4" w:rsidRDefault="002960FA" w:rsidP="00E22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İlgili mevzuatı gereği ödeme emri belgesine eklenecek diğer belgeler, ödeme emri belgesine bağlanır.</w:t>
            </w:r>
          </w:p>
        </w:tc>
        <w:tc>
          <w:tcPr>
            <w:tcW w:w="1692" w:type="dxa"/>
            <w:noWrap/>
            <w:hideMark/>
          </w:tcPr>
          <w:p w14:paraId="25995B18" w14:textId="77777777" w:rsidR="002960FA" w:rsidRPr="009C3CE4" w:rsidRDefault="002960FA" w:rsidP="00E22C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</w:tbl>
    <w:p w14:paraId="7EC5547C" w14:textId="77777777" w:rsidR="002960FA" w:rsidRPr="009C3CE4" w:rsidRDefault="002960FA" w:rsidP="002960F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3472862" w14:textId="77777777" w:rsidR="002960FA" w:rsidRPr="009C3CE4" w:rsidRDefault="002960FA" w:rsidP="002960F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BE523E0" w14:textId="77777777" w:rsidR="002960FA" w:rsidRPr="009C3CE4" w:rsidRDefault="002960FA" w:rsidP="002960F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C3CE4">
        <w:rPr>
          <w:rFonts w:ascii="Times New Roman" w:hAnsi="Times New Roman" w:cs="Times New Roman"/>
          <w:b/>
          <w:bCs/>
          <w:sz w:val="24"/>
          <w:szCs w:val="24"/>
        </w:rPr>
        <w:t>Yukarıda (+) işaretli belgelerin doğru ve eksiksiz olarak oluşturulduğunu ve (</w:t>
      </w: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>) işaretli belgelerin bu ödeme için gerekli olmadığını beyan ederim.</w:t>
      </w:r>
    </w:p>
    <w:p w14:paraId="709E0DFB" w14:textId="77777777" w:rsidR="002960FA" w:rsidRPr="009C3CE4" w:rsidRDefault="002960FA" w:rsidP="002960F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C3CE4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Gerçekleştirme Görevlisi</w:t>
      </w:r>
    </w:p>
    <w:p w14:paraId="7A8B4C91" w14:textId="77777777" w:rsidR="002960FA" w:rsidRPr="009C3CE4" w:rsidRDefault="002960FA" w:rsidP="002960F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>Adı Soyadı</w:t>
      </w:r>
    </w:p>
    <w:p w14:paraId="4D055694" w14:textId="77777777" w:rsidR="002960FA" w:rsidRPr="009C3CE4" w:rsidRDefault="002960FA" w:rsidP="002960F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B33CB36" w14:textId="77777777" w:rsidR="000960B8" w:rsidRDefault="000960B8"/>
    <w:sectPr w:rsidR="000960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0FA"/>
    <w:rsid w:val="000960B8"/>
    <w:rsid w:val="00296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0F72F"/>
  <w15:chartTrackingRefBased/>
  <w15:docId w15:val="{11270999-FBF5-4837-8A04-3909A40DC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0F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960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246</Words>
  <Characters>1407</Characters>
  <Application>Microsoft Office Word</Application>
  <DocSecurity>0</DocSecurity>
  <Lines>11</Lines>
  <Paragraphs>3</Paragraphs>
  <ScaleCrop>false</ScaleCrop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odtu</dc:creator>
  <cp:keywords/>
  <dc:description/>
  <cp:lastModifiedBy>odtu</cp:lastModifiedBy>
  <cp:revision>1</cp:revision>
  <dcterms:created xsi:type="dcterms:W3CDTF">2025-12-23T07:29:00Z</dcterms:created>
  <dcterms:modified xsi:type="dcterms:W3CDTF">2025-12-23T07:30:00Z</dcterms:modified>
</cp:coreProperties>
</file>